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14:ligatures w14:val="none"/>
        </w:rPr>
      </w:pPr>
      <w:r>
        <w:rPr>
          <w14:ligatures w14:val="none"/>
        </w:rPr>
        <w:t xml:space="preserve"> </w:t>
      </w:r>
      <w:r>
        <w:rPr>
          <w14:ligatures w14:val="none"/>
        </w:rPr>
      </w:r>
      <w:r>
        <w:rPr>
          <w14:ligatures w14:val="none"/>
        </w:rPr>
      </w:r>
    </w:p>
    <w:p>
      <w:pPr>
        <w:pStyle w:val="660"/>
        <w:ind w:left="0" w:right="0" w:firstLine="0"/>
        <w:spacing w:before="0" w:after="45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53"/>
        </w:rPr>
        <w:t xml:space="preserve">Политика обработки персональных данных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1. ТЕРМИНЫ И ОПРЕДЕНИЯ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1.1. Персональные данные - любая информация, относящаяся к прямо или косвенно определенному или определяемому Пользователю (субъекту персональных данных), которая может быть передана Пользователем при взаимодействии с ИП Чхаидзе Дарья Александровна.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1.2. Пользователь – физическое лицо, являющееся пользователем Сайта и/или клиентом ИП Чхаидзе Дарья Александровна.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1.3. Сайт – веб-сайт, расположенный в сети Интернет по адресу: http://nailprofessional.ru.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1.4. Оператор - ИП Чхаидзе Дарья Александровна </w:t>
      </w:r>
      <w:r/>
      <w:r>
        <w:rPr>
          <w:rFonts w:ascii="Liberation Sans" w:hAnsi="Liberation Sans" w:eastAsia="Liberation Sans" w:cs="Liberation Sans"/>
          <w:color w:val="000000"/>
          <w:sz w:val="27"/>
        </w:rPr>
        <w:t xml:space="preserve">(ИНН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231527938504,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ОГРН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320237500370906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), осуществляющее обработку персональных данных Пользователя.</w:t>
      </w:r>
      <w:r/>
      <w:r/>
      <w:r>
        <w:rPr>
          <w:rFonts w:ascii="Liberation Sans" w:hAnsi="Liberation Sans" w:eastAsia="Liberation Sans" w:cs="Liberation Sans"/>
          <w:color w:val="000000"/>
          <w:sz w:val="27"/>
        </w:rPr>
      </w:r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1.5. Обработка персональных данных - любое действие (операция) или совокупность действий (операций) Оператора, совершаемых с использованием средств автоматизации и (или) без использования таких средств с персональными данными Пользователя, включая сбор, за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1.6. Автоматизированная обработка персональных данных – обработка персональных данных с помощью средств вычислительной техники.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1.7. Неавтоматизированная обработка персональных данных - обработка персональных данных без использования средств автоматизации.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1.8. Распространение персональных данных - действия, направленные на раскрытие персональных данных Пользователя неопределенному кругу лиц.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1.9. Смешанная обработки персональных данных - обработка персональных данных с помощью средств вычислительной техники и без использования средств автоматизации.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1.10. Предоставление персональных данных - действия, направленные на раскрытие персональных данных Пользователя определенному лицу или определенному кругу лиц.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1.11. Блокирование персональных данных - временное прекращение обработки персональных данных Пользователя (за исключением случаев, если обработка необходима для уточнения персональных данных).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1.12. Уничтожение персональных данных - действия, в результате которых становится невозможным восстановить содержание персональных данных Пользователя в информационной системе персональных данных и (или) в результате которых уничтожаются материальные носит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ели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1.13.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1.14.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 Оператора.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2. ОБЩИЕ ПОЛОЖЕНИЯ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2.1.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http://nailprofessional.ru/</w:t>
      </w:r>
      <w:r>
        <w:rPr>
          <w:rFonts w:ascii="Liberation Sans" w:hAnsi="Liberation Sans" w:eastAsia="Liberation Sans" w:cs="Liberation Sans"/>
          <w:color w:val="000000"/>
          <w:sz w:val="27"/>
        </w:rPr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Мы соблюдаем требования российского законодательства в области персональных данных. При обработке персональных данных мы придерживаемся принципов, изложенных в ст. 5 Федерального закона от 27.07.2006 г №152-ФЗ «О персональных данных».</w:t>
      </w:r>
      <w:r>
        <w:rPr>
          <w:rFonts w:ascii="Liberation Sans" w:hAnsi="Liberation Sans" w:eastAsia="Liberation Sans" w:cs="Liberation Sans"/>
          <w:color w:val="000000"/>
          <w:sz w:val="27"/>
        </w:rPr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Просим Вас 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нимательно изучить Политику обработки персональных данных (далее - Политика), чтобы понимать для достижения каких целей мы осуществляем обработку Ваших персональных данных, а также как Вы можете реализовать права, в отношении своих персональных данных, обр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абатываемых нами.</w:t>
      </w:r>
      <w:r>
        <w:rPr>
          <w:rFonts w:ascii="Liberation Sans" w:hAnsi="Liberation Sans" w:eastAsia="Liberation Sans" w:cs="Liberation Sans"/>
          <w:color w:val="000000"/>
          <w:sz w:val="27"/>
        </w:rPr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Е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сли у Вас есть вопросы, связанные с Политикой, в т.ч. предложения по улучшению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способов, указанных в разделе «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Реквизиты оператора».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2.2. Использование Сайта означает согласие Пользователя с настоящей Политикой и указанными в ней условиями обработки персональных данных. В случае несогласия с этими условиями Пользователь должен воздержаться от использования Сайта.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2.3. Настоящая Политика устанавливает обязательные для работников Оператора, общие требования и правила по работе со всеми видами носителей информации, содержащими персональные данные Пользователей.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2.4. Настоящая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3. СУБЪЕКТЫ ПЕРСОНАЛЬНЫХ ДАННЫХ</w:t>
      </w:r>
      <w:r/>
    </w:p>
    <w:p>
      <w:pPr>
        <w:ind w:left="0" w:right="0" w:firstLine="0"/>
        <w:spacing w:before="0" w:after="225" w:line="375" w:lineRule="atLeast"/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3.1. Оператор осуществляет обработку персональных данных следующих категорий субъектов: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</w:r>
    </w:p>
    <w:p>
      <w:pPr>
        <w:pStyle w:val="840"/>
        <w:numPr>
          <w:ilvl w:val="0"/>
          <w:numId w:val="1"/>
        </w:numPr>
        <w:ind w:right="0"/>
        <w:spacing w:before="0" w:after="225" w:line="375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Клиенты</w:t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, являющееся пользователем Сайта и/или клиентом ИП Чхаидзе Дарья Александровна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</w:r>
    </w:p>
    <w:p>
      <w:pPr>
        <w:pStyle w:val="840"/>
        <w:numPr>
          <w:ilvl w:val="0"/>
          <w:numId w:val="1"/>
        </w:numPr>
        <w:ind w:right="0"/>
        <w:spacing w:before="0" w:after="225" w:line="375" w:lineRule="atLeast"/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t xml:space="preserve">Пользователи сайта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ИП Чхаидзе Дарья Александровна</w:t>
      </w:r>
      <w:r>
        <w:rPr>
          <w:highlight w:val="none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  <w14:ligatures w14:val="none"/>
        </w:rPr>
      </w:r>
      <w:r>
        <w:rPr>
          <w:rFonts w:ascii="Liberation Sans" w:hAnsi="Liberation Sans" w:eastAsia="Liberation Sans" w:cs="Liberation Sans"/>
          <w:color w:val="000000"/>
          <w:sz w:val="27"/>
          <w:szCs w:val="27"/>
          <w:highlight w:val="none"/>
          <w14:ligatures w14:val="none"/>
        </w:rPr>
      </w:r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4. ПРИНЦИПЫ ОБРАБОТКИ ПЕРСОНАЛЬНЫХ ДАННЫХ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 Обработка персональных данных Пользователя осуществляется с учетом необходимости обеспечения защиты прав и свобод Пользователя, в том числе защиты права на неприкосновенность частной жизни, личную и семейную тайну, на основе следующих принципов: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4.1.1. Обработка персональных данных осуществляется на законной и справедливой основе.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4.1.2. Обработка персональных данных ограничивается достижением конкретных, заранее определенных и законных целей, установленных настоящей Политикой.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4.1.3. Не допускается обработка персональных данных, несовместимая с целями сбора персональных данных, установленных настоящей Политикой.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4.1.4.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4.1.5. Обработке подлежат только персональные данные, которые отвечают целям их обработки.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4.1.6.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4.1.7.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4.1.8. Принимаются необходимые меры по удалению или уточнению неполных, или неточных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4.1.9.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или договором (стороной которого, выгодоприобретателем или поручителем, по которому является субъект персональных данных).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4.1.10.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 или договором (стороной которого, выгодоприобретателем или поручителем, по ко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торому является субъект персональных данных) подлежат уничтожению либо обезличиванию.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5. УСЛОВИЯ ОБРАБОТКИ ПЕРСОНАЛЬНЫХ ДАННЫХ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5.1. Обработка персональных данных осуществляется с согласия Пользователя на обработку его персональных данных, если иное не предусмотрено законодательством Российской Федерации.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5.2. Пользователь выражает свое согласие обработки персональных данных Оператором, заполняя поля, подразумевающие ввод персональных данных, и устанавливая «галочку» в соответствующем поле на Сайте:</w:t>
      </w:r>
      <w:r/>
    </w:p>
    <w:p>
      <w:pPr>
        <w:pStyle w:val="840"/>
        <w:numPr>
          <w:ilvl w:val="0"/>
          <w:numId w:val="3"/>
        </w:numPr>
        <w:ind w:right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Даю согласие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на обработку  своих персональных данных ИП Чхаидзе Дарья Александровна в соответствие с Федеральным законом от 27.07.2006 г. № 152-ФЗ «О персональных данных» в целях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Подготовки, заключения и исполнения гражданско-правового договора и соглашения между мной и </w:t>
      </w:r>
      <w:r>
        <w:rPr>
          <w:rFonts w:ascii="Liberation Sans" w:hAnsi="Liberation Sans" w:eastAsia="Liberation Sans" w:cs="Liberation Sans"/>
          <w:color w:val="000000"/>
          <w:sz w:val="27"/>
        </w:rPr>
        <w:br/>
        <w:t xml:space="preserve">ИП Чхаидзе Дарья Александровна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5.2.1. Согласие пользователя на обработку персональных данных Оператором также считается данным на законной основе в случае: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- акцепта договора-оферты на оказание услуг ИП Чхаидзе Дарья Александровна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- при заключении договора с Партнером ИП Чхаидзе Дарья Александровна (агентом), что указывается в соответствующем договоре (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акцепта договора-оферты</w:t>
      </w:r>
      <w:r/>
      <w:r>
        <w:rPr>
          <w:rFonts w:ascii="Liberation Sans" w:hAnsi="Liberation Sans" w:eastAsia="Liberation Sans" w:cs="Liberation Sans"/>
          <w:color w:val="000000"/>
          <w:sz w:val="27"/>
        </w:rPr>
        <w:t xml:space="preserve">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5.3.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Совершая действия, указанные в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п.5.2, п.5.2.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настоящей Политики, Пользователь дает Оператору согласие на обработку соответствующих персональных данных, перечень которых указан в разделе 7 настоящей Политики, включая сбор, запись, систематизацию, накопление, хранен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ие, уточнение (обновление, изменение), извлечение, использование, передачу (предоставление третьим лицам, доступ),  блокирование, удаление, уничтожение персональных данных с использованием и без использования средств автоматизации в соответств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ии с целями, указанными в разделе 7 настоящей Политики.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5.4. Оператор не предоставляет и не раскрывает сведения, содержащие персональные данные Пользователя, третьей стороне без согласия Пользователя, за исключением случаев, когда это необходимо в целях предупреждения угрозы жизни и здоровью, а такж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е в случаях, установленных законодательством Российской Федерации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данных будет являться выгодоприобретателем или поручителем.</w:t>
      </w:r>
      <w:r>
        <w:rPr>
          <w:rFonts w:ascii="Liberation Sans" w:hAnsi="Liberation Sans" w:eastAsia="Liberation Sans" w:cs="Liberation Sans"/>
          <w:color w:val="000000"/>
          <w:sz w:val="27"/>
        </w:rPr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6. ПОРЯДОК ОБРАБОТКИ ПЕРСОНАЛЬНЫХ ДАННЫХ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6.1.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 и уничтожение персональны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х данных Пользователя.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6.2. Обработка персональных данных, предоставленных Пользователем, осуществляется Оператором следующими способами: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смешанная обработка персональных данных.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7. КАТЕГОРИИ ПЕРСОНАЛЬНЫХ ДАННЫХ, ЦЕЛИ, СПОСОБЫ И СРОК ОБРАБОТКИ ПЕРСОНАЛЬНЫХ ДАННЫХ</w:t>
      </w:r>
      <w:r/>
    </w:p>
    <w:tbl>
      <w:tblPr>
        <w:tblStyle w:val="692"/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1581"/>
        <w:gridCol w:w="3063"/>
        <w:gridCol w:w="1276"/>
        <w:gridCol w:w="1417"/>
        <w:gridCol w:w="1276"/>
        <w:gridCol w:w="2268"/>
      </w:tblGrid>
      <w:tr>
        <w:trPr>
          <w:tblHeader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  <w:t xml:space="preserve">Категория субъектов ПДн 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3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Перечень обрабатываемых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 перс данных 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Способы обработки 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перс данных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Срок обработки 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перс данных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Срок хранения 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перс данных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b/>
                <w:bCs/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Правовое основание обработки перс данных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>
          <w:trHeight w:val="107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81" w:type="dxa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Цель обработки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 перс данных:</w:t>
            </w:r>
            <w:r>
              <w:rPr>
                <w:b/>
                <w:bCs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Подготовка, заключение и исполнение гражданско-правового договора</w:t>
            </w:r>
            <w:r>
              <w:rPr>
                <w:sz w:val="18"/>
                <w:szCs w:val="18"/>
                <w:highlight w:val="none"/>
              </w:rPr>
              <w:t xml:space="preserve"> и соглашения между Пользователем сайта и Оператором.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  <w:t xml:space="preserve">·Клиенты, являющееся пользователем Сайта и/или клиентом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3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ФИО;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адрес электронной почты;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Телефон;</w:t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Адрес доставки;</w:t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Иная информация, указанная в заказе;</w:t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IP-адрес;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данные файлов Cookies; (необходимые); 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смешанная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Период действия договора, соглашения;</w:t>
            </w:r>
            <w:r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отзыва согласия на обработку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t xml:space="preserve">получено согласие на обработку ПДн</w:t>
            </w:r>
            <w:r>
              <w:rPr>
                <w:sz w:val="18"/>
                <w:szCs w:val="18"/>
                <w:highlight w:val="none"/>
              </w:rPr>
              <w:t xml:space="preserve">;</w:t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Пользователи сайта</w:t>
            </w:r>
            <w:r>
              <w:rPr>
                <w:sz w:val="16"/>
                <w:szCs w:val="16"/>
                <w:highlight w:val="none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:highlight w:val="non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3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ФИО;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адрес электронной почты;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Телефон;</w:t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Адрес доставки;</w:t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none"/>
              </w:rPr>
              <w:t xml:space="preserve">Иная информация, указанная в заказе;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IP-адрес;</w:t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  <w:p>
            <w:pPr>
              <w:shd w:val="clear" w:color="auto" w:fill="auto"/>
              <w:rPr>
                <w:sz w:val="16"/>
                <w:szCs w:val="16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данные файлов Cookies; (необходимые); </w:t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:highlight w:val="white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6"/>
                <w:szCs w:val="16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смешанная</w:t>
            </w:r>
            <w:r/>
            <w:r>
              <w:rPr>
                <w:sz w:val="18"/>
                <w:szCs w:val="18"/>
              </w:rPr>
            </w:r>
            <w:r>
              <w:rPr>
                <w:sz w:val="16"/>
                <w:szCs w:val="16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действия договора, соглашения;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отзыва согласия на обработку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sz w:val="18"/>
                <w:szCs w:val="18"/>
                <w:highlight w:val="non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  <w:t xml:space="preserve">получено согласие на обработку ПДн;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6"/>
                <w:szCs w:val="16"/>
                <w14:ligatures w14:val="none"/>
              </w:rPr>
            </w:r>
            <w:r>
              <w:rPr>
                <w:sz w:val="18"/>
                <w:szCs w:val="18"/>
                <w:highlight w:val="none"/>
                <w14:ligatures w14:val="none"/>
              </w:rPr>
            </w:r>
          </w:p>
        </w:tc>
      </w:tr>
    </w:tbl>
    <w:p>
      <w:pPr>
        <w:shd w:val="nil"/>
        <w:rPr>
          <w14:ligatures w14:val="none"/>
        </w:rPr>
      </w:pPr>
      <w:r>
        <w:rPr>
          <w14:ligatures w14:val="none"/>
        </w:rPr>
      </w:r>
      <w:r/>
      <w:r>
        <w:rPr>
          <w14:ligatures w14:val="none"/>
        </w:rPr>
      </w:r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7.2. Во время посещения Пользователем Сайта Оператору доступна техническая информация, автоматически собираемая программным обеспечением Сайта во время его посещения. Во время посещения Пользователем Сайта автоматически становится доступна информация из ст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андартных журналов сервера (server logs) и данные файлов cookies. Такие как, IP-адрес персонального компьютера (прокси-сервера), имя Интернет-провайдера, имя домена, тип браузера, операционной системы, информация о сайте, с которого Пользователь совершил п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ереход на Сайт, посещенных Пользователем страницах Сайта, дате и времени посещения Сайта. Пользователь может в любой момент изменить настройки своего браузера так, чтобы файлы cookies блокировались или приходили уведомления об их отправке. При этом Пользов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атель должен понимать, что некоторые функции и сервисы Сайта могут работать некорректно.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7.3. Оператор не осуществляет: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прямое или косвенное определение Пользователей с использованием технической информации или иных сведений;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сопоставление или объединение (связывание) технической информации с находящимися у Оператора персональными данными Пользователя;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обработку технической информации для аналитических и маркетинговых (рекламных) целей;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передачу технической информации сторонним Интернет-сервисам.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7.4. Предоставляемые Пользователем персональные данные могут подвергаться Оператором проверке на достоверность путем повторного подтверждения Пользователем своих персональных данных только, если отвечают целям их обработки, или в случаях, предусмотренных с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оответствующим нормативным правовым актом Российской Федерации, или договором (стороной которого, выгодоприобретателем или поручителем, по которому является Пользователь).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7.6. Обработка биометрических персональных данных Оператором не осуществляется.</w:t>
      </w:r>
      <w:r/>
    </w:p>
    <w:p>
      <w:pPr>
        <w:ind w:left="0" w:right="0" w:firstLine="0"/>
        <w:spacing w:before="0" w:after="225" w:line="375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7.7. Оператор </w:t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</w:t>
      </w:r>
      <w:r>
        <w:rPr>
          <w:rFonts w:ascii="Liberation Sans" w:hAnsi="Liberation Sans" w:eastAsia="Liberation Sans" w:cs="Liberation Sans"/>
          <w:color w:val="000000"/>
          <w:sz w:val="27"/>
          <w:highlight w:val="none"/>
        </w:rPr>
        <w:t xml:space="preserve">(далее – поручение).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К перечню третьих лиц, которым передаются персональные данные с целью их обработки в соответствии с настоящим пунктом относятся:</w:t>
      </w:r>
      <w:r/>
    </w:p>
    <w:p>
      <w:pPr>
        <w:pStyle w:val="840"/>
        <w:numPr>
          <w:ilvl w:val="0"/>
          <w:numId w:val="5"/>
        </w:numPr>
        <w:ind w:right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Общество с ограниченной ответственностью "СпейсВэб". Юридический адрес: 198095, город Санкт-Петербург, улица Маршала Говорова, дом 35, корпус 5, литер Ж, этаж 4, офис 371.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);</w:t>
      </w:r>
      <w:r/>
    </w:p>
    <w:p>
      <w:pPr>
        <w:pStyle w:val="840"/>
        <w:numPr>
          <w:ilvl w:val="0"/>
          <w:numId w:val="4"/>
        </w:numPr>
        <w:ind w:right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Организации предоставляющие  дополнительных услуг Пользователю сайта по доставке заказов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7.7.1. Лица, осуществляющие обработку персональных данных на основании заключаемого с ИП Чхаидзе Дарья Александровна договора (поручения оператора), включая службы доставки,  иные организации-партнеры Оператора, обязуются соблюдать принципы и правила обработ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ки и защиты персональных данных, предусмотренные действующим законодательством. Для каждого третьего лица в договоре определяются перечень действий (операций) с персональными данными, которые будут совершаться третьим лицом, осуществляющим обработку персон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указываются требования к защите обрабатываемых персональных данных в соответствии с действ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ующим законодательством.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8. ПРАВА ПОЛЬЗОВАТЕЛЯ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8.1. Пользователь имеет право на: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получение полной информации о своих персональных данных, обрабатываемых Оператором;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доступ к своим персональным данным, включая право на получение копии любой записи, содержащей его персональные данные, за исключением случаев, установленных законодательством Российской Федерации;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настоящей Политикой цели;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отзыв согласия на обработку персональных данных;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отзыв согласия на получение рассылки сообщений от Оператора;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принятие мер по защите своих прав в соответствии с законодательством Российской Федерации;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обжалование действия или бездействия Оператора,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осуществление иных прав, предусмотренных законодательством Российской Федерации.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8.2. Пользователь вправе направлять Оператору лично или через представителя (по закону или по доверенности) запросы на получение информации, касающейся обработки его персональных данных (относительно использования его персональных данных) любым удобным и в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озможным вариантом: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- в письменной форме по адресу: ИП Чхаидзе Дарья Александровна,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305004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, г. Курск,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ул. Карла Маркса д.15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, или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- в форме электронного документа с применением электронно-цифровой подписи, на адрес электронной почты: </w:t>
      </w:r>
      <w:r>
        <w:rPr>
          <w:rFonts w:ascii="Liberation Sans" w:hAnsi="Liberation Sans" w:eastAsia="Liberation Sans" w:cs="Liberation Sans"/>
          <w:sz w:val="27"/>
        </w:rPr>
        <w:t xml:space="preserve">nail_professional@mail.ru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8.2.1. Запрос Пользователя на получение информации, касающейся обработки его персональных данных, должен содержать следующую информацию: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Фамилия, имя, отчество Пользователя;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Паспортные данные Пользователя: серия, номер, код подразделения, когда и кем выдан;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Номер договора (сертификата), дата заключения договора, условное словесное обозначение и (или) иные сведения, подтверждающие взаимодействие Пользователя с Оператором (обработку персональных данных Оператором);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Дата и подпись Пользователя.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8.2.2. После получения запроса Пользователя на получение информации, касающейся обработки его персональных данных, Оператор обязуется его рассмотреть и предоставить сведения, указанные в части 7 статьи 14 ФЗ «О персональных данных», путем направления ответ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в той форме, в которой был направлен запрос (если иное не указано запросе), в течение 10 (десяти) рабочих дней с даты получения Запроса Пользователя (указанный срок может быть продлен, но не более чем на 5 (пять) рабочих дней).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8.2.3. Если в запросе Пользователя на получение информации, касающейся обработки его персональных данных, не отражены все необходимые сведения в соответствии с ФЗ «О персональных данных» или Пользователь не обладает правами доступа к запрашиваемой информац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ии, то Оператор направляет мотивированный отказ.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9. ИЗМЕНЕНИЕ, БЛОКИРОВАНИЕ, УНИЧТОЖЕНИЕ ПЕРСОНАЛЬНЫХ ДАННЫХ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9.1. Оператор обязуется внести по требованию Пользователя необходимые изменения, блокировать его персональные данные или уничтожить в случае, если персональные данные являются неполными, устаревшими, неточными, незаконно полученными или не являются необход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имыми для заявленной настоящей Политикой цели.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9.2. В случае выявления неточных персональных данных при обращении (запросе) Пользователя, его представителя или уполномоченного органа по защите прав субъектов персональных данных Оператор осуществляет блокирование персональных данных Пользователя с момен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та такого обращения на период проверки (если блокирование персональных данных не нарушает права и законные интересы иных Пользователей).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9.2.1. В случае подтверждения факта неточности персональных данных Пользователя Оператор на основании сведений, представленных Пользователем, его представителем представителя или уполномоченным органом по защите прав субъектов персональных данных, или иных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необходимых документов уточняет персональные данные Пользователя в течение 7 (семи) рабочих дней со дня представления таких сведений и снимает блокирование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9.3. В случае выявления неправомерной обработки персональных данных при обращении (запросе) Пользователя, его представителя или уполномоченного органа по защите прав субъектов персональных данных Оператор осуществляет блокирование персональных данных с мом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ента обращения.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9.4. В случае выявления неправомерной или случайной передачи (предоставления, доступа, распространения) персональных данных Пользователя Оператор уведомляет уполномоченный орган по защите прав субъектов персональных данных: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24 часов - о произошедшем инциденте;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72 часов - о результатах внутреннего расследования выявленного инцидента.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9.5. Оператор уничтожает Персональные данные Пользователя, если иное не предусмотрено договором (соглашением) с Пользователем или законодательством Российской Федерации: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30 (тридцати) календарных дней после достижения цели обработки персональных данных или утраты необходимости обработки персональных данных;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30 (тридцати) календарных дней после достижения максимальных сроков хранения документов, содержащих персональные данные Пользователя;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7 (семи) рабочих дней в случае подтверждения незаконной обработки персональных данных Пользователя или за переделами заявленной цели обработки;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в течение 30 (тридцати) календарных дней после получения от Пользователя отзыва согласия на обработку его персональных данных (если сохранение персональных данных Пользователя для цели обработки не требуется);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• ликвидации Оператора.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10. МЕРЫ ПО ОБЕСПЕЧЕНИЮ ЗАЩИТЫ ПЕРСОНАЛЬНЫХ ДАННЫХ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 Оператором предприняты следующие меры, необходимые и достаточные для обеспечения выполнения обязанностей Оператора, предусмотренных законодательством Российской Федерации о персональных данных: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10.1.1. Назначено ответственное лицо за организацию обработки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10.1.2. Назначено ответственное лицо за обеспечение безопасности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10.1.3. Назначены администраторы информационных систем Оператора, в которых хранятся персональные данные.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10.1.4. Установлен и утвержден перечень лиц (должностей), привлеченных (допущенных) Оператором к автоматизированной, неавтоматизированной и смешанной обработке персональных данных Пользователей, в том числе в информационные системы Оператора, в которых хра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нятся персональные данные, и ограничен доступа к информационным системам Оператора, в которых хранятся персональные данные, для иных лиц.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10.1.5. Определены угрозы безопасности персональных данных при их обработке.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10.1.6. Утверждены локальные акты по вопросам обработки персональных данных, выявлению и предотвращению нарушений законодательства Российской Федерации в сфере персональных данных и устранению таких нарушений.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10.1.7. Персональные данные, обрабатываемые без использования средств автоматизации, обособлены от иной информации, в частности путем их фиксации на отдельных материальных носителях персональных данных, в специальных разделах.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10.1.8. Обеспечено раздельное хранение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10.1.9. Персональные данные Пользователя хранятся в электронном виде в информационных системах Оператора, а также в архивных копиях баз данных этих систем, с соблюдением условий, обеспечивающих сохранность персональных данных и исключающих несанкционирован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ный доступ к ним.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10.1.10. Установлен запрет на передачу персональных данных Пользователя по открытым каналам связи и сетям Интернет без применения установленных Оператором мер по обеспечению безопасности персональных данных, за исключением общедоступных и (или) обезличенны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х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10.1.11. Осуществляется внутренний контроль соответствия обработки персональных данных Пользователя законодательству Российской Федерации в сфере обработки персональных данных, настоящей Политике и локальным актам Оператора.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10.1.12. Периодически осуществляется ознакомление сотрудников Оператора, осуществляющих обработку персональных данных, с положениями законодательства Российской Федерации в сфере обработки персональных данных (в том числе с требованиями к защите персональн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ых данных) и локальными актами по вопросам обработки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10.1.13. Организован режим безопасности помещений, в которых осуществляется обработка персональных данных и размещены программно-аппаратные средства, используемые для обработки персональных данных Пользователей.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10.1.14. Осуществляется уничтожение персональных данных Пользователя способом, исключающим последующее восстановление и дальнейшую обработку персональных данных, в том числе с подтверждением уничтожения персональных данных в соответствии с требованиями, ус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тановленными уполномоченным органом по защите прав субъектов персональных данных.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10.2.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данных, а также от иных неправомерных действий в отношении персональных данных, в соответствии с законодательством Российской Федерации в области персональных данных и локальными актами Оператора.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11. КОНФИДЕНЦИАЛЬНОСТЬ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11.1. Персональные данные Пользователя являются конфиденциальной информацией, не подлежащей разглашению, и не могут быть использованы Оператором для целей, не перечисленных в настоящей Политике. Под разглашением персональных данных в настоящей Политике пон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имается действие или бездействие, в результате которых персональные данные, в любой возможной форме (устной, письменной, иной форме, в том числе с использованием технических средств) становятся известны третьим лицам без согласия обладателя такой информаци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 либо вопреки гражданско-правовому договору.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11.2. Разглашение персональных данных Пользователя или их части допускается только в случаях, предусмотренных действующим законодательством Российской Федерации, в том числе в соответствии с требованиями Федерального закона от 06.04.2011 № 63-ФЗ «Об электр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онной подписи», либо с отдельного согласия Пользователя.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11.3. Оператор не осуществляет трансграничную передачу персональных данных Пользователя.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12. ОТВЕТСТВЕННОСТЬ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12.1. Оператор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12.2. Ответственность сотрудников Оператора, получивших доступ к обрабатываемым персональным данным Пользователя, за невыполнение требований норм, регулирующих обработку и защиту персональных данных, определяется в соответствии с законодательством Российск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ой Федерации в области обработки персональных данных и локальными актами Оператора.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12.3. В случае, если сайт содержит ссылки на другие веб-сайты в сети Интернет, то Оператор не несет ответственность за политику в отношении обработки персональных данных других веб-сайтов в сети Интернет.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13. ЗАКЛЮЧИТЕЛЬНЫЕ ПОЛОЖЕНИЯ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13.1. Настоящая Политика является внутренним документом Оператора, общедоступна и подлежит размещению на Сайте.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13.2. Настоящая Политика вступает в силу с момента ее опубликования на Сайте и распространяется на персональные данные Пользователя, полученные как до, так и после вступления в силу настоящей Политики.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13.3. Оператор имеет право вносить изменения в настоящую Политику в одностороннем порядке или утверждать Политику в новой редакции путем опубликования новой редакции Политики или изменений к ней на Сайте без уведомления Пользователей. Пользователь должен с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амостоятельно отслеживать изменения в Политике. Использование Сайта или вступление в договорные отношения с Оператором после начала действия измененной редакции Политики означает принятие Пользователем положений измененной редакции Политики.</w:t>
      </w:r>
      <w:r/>
    </w:p>
    <w:p>
      <w:pPr>
        <w:pStyle w:val="662"/>
        <w:ind w:left="0" w:right="0" w:firstLine="0"/>
        <w:spacing w:before="0" w:after="30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45"/>
        </w:rPr>
        <w:t xml:space="preserve">14. РЕКВИЗИТЫ ОПЕРАТОРА</w:t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7"/>
        </w:rPr>
      </w:r>
      <w:r>
        <w:rPr>
          <w:rFonts w:ascii="Liberation Sans" w:hAnsi="Liberation Sans" w:eastAsia="Liberation Sans" w:cs="Liberation Sans"/>
          <w:b/>
          <w:color w:val="000000"/>
          <w:sz w:val="27"/>
        </w:rPr>
        <w:t xml:space="preserve">ИП Чхаидзе Дарья Александровна</w:t>
      </w:r>
      <w:r>
        <w:rPr>
          <w:rFonts w:ascii="Liberation Sans" w:hAnsi="Liberation Sans" w:eastAsia="Liberation Sans" w:cs="Liberation Sans"/>
          <w:b/>
          <w:color w:val="000000"/>
          <w:sz w:val="27"/>
        </w:rPr>
      </w:r>
      <w:r/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ИНН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231527938504</w:t>
        <w:br/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ОГРН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320237500370906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</w:p>
    <w:p>
      <w:pPr>
        <w:ind w:left="0" w:right="0" w:firstLine="0"/>
        <w:spacing w:before="0" w:after="225" w:line="37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Телефон  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+7 (951) 323-73-56</w:t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  <w:br/>
        <w:t xml:space="preserve">Эл.почта: </w:t>
      </w:r>
      <w:r>
        <w:rPr>
          <w:rFonts w:ascii="Liberation Sans" w:hAnsi="Liberation Sans" w:eastAsia="Liberation Sans" w:cs="Liberation Sans"/>
          <w:sz w:val="27"/>
        </w:rPr>
        <w:t xml:space="preserve">nail_professional@mail.ru</w:t>
      </w:r>
      <w:r>
        <w:rPr>
          <w:rFonts w:ascii="Liberation Sans" w:hAnsi="Liberation Sans" w:eastAsia="Liberation Sans" w:cs="Liberation Sans"/>
          <w:color w:val="000000"/>
          <w:sz w:val="27"/>
        </w:rPr>
      </w:r>
      <w:r/>
      <w:r>
        <w:rPr>
          <w:rFonts w:ascii="Liberation Sans" w:hAnsi="Liberation Sans" w:eastAsia="Liberation Sans" w:cs="Liberation Sans"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  <w:color w:val="000000"/>
          <w:sz w:val="27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1">
    <w:name w:val="Heading 1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2"/>
    <w:basedOn w:val="660"/>
    <w:next w:val="836"/>
    <w:link w:val="663"/>
    <w:uiPriority w:val="9"/>
    <w:unhideWhenUsed/>
    <w:qFormat/>
    <w:rPr>
      <w:rFonts w:ascii="Liberation Sans" w:hAnsi="Liberation Sans" w:eastAsia="Liberation Sans" w:cs="Liberation Sans"/>
    </w:rPr>
  </w:style>
  <w:style w:type="character" w:styleId="663">
    <w:name w:val="Heading 2 Char"/>
    <w:link w:val="662"/>
    <w:uiPriority w:val="9"/>
    <w:rPr>
      <w:rFonts w:ascii="Liberation Sans" w:hAnsi="Liberation Sans" w:eastAsia="Liberation Sans" w:cs="Liberation Sans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5">
    <w:name w:val="Heading 3 Char"/>
    <w:link w:val="664"/>
    <w:uiPriority w:val="9"/>
    <w:rPr>
      <w:rFonts w:ascii="Liberation Sans" w:hAnsi="Liberation Sans" w:cs="Liberation Sans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uiPriority w:val="1"/>
    <w:qFormat/>
    <w:pPr>
      <w:spacing w:after="0" w:line="240" w:lineRule="auto"/>
    </w:pPr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Сергей Воробьев</cp:lastModifiedBy>
  <cp:revision>7</cp:revision>
  <dcterms:modified xsi:type="dcterms:W3CDTF">2023-12-09T08:18:11Z</dcterms:modified>
</cp:coreProperties>
</file>